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05" w:rsidRPr="00AF3D05" w:rsidRDefault="00AF3D05" w:rsidP="00AF3D05">
      <w:pPr>
        <w:tabs>
          <w:tab w:val="left" w:pos="-241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F3D05">
        <w:rPr>
          <w:rFonts w:ascii="Times New Roman" w:eastAsia="Times New Roman" w:hAnsi="Times New Roman" w:cs="Times New Roman"/>
          <w:sz w:val="32"/>
          <w:szCs w:val="32"/>
          <w:lang w:eastAsia="ru-RU"/>
        </w:rPr>
        <w:t>Агентии</w:t>
      </w:r>
      <w:proofErr w:type="spellEnd"/>
      <w:r w:rsidRPr="00AF3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32"/>
          <w:szCs w:val="32"/>
          <w:lang w:eastAsia="ru-RU"/>
        </w:rPr>
        <w:t>омори</w:t>
      </w:r>
      <w:proofErr w:type="spellEnd"/>
      <w:r w:rsidRPr="00AF3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назди</w:t>
      </w:r>
      <w:proofErr w:type="spellEnd"/>
      <w:r w:rsidRPr="00AF3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Президенти</w:t>
      </w:r>
      <w:proofErr w:type="spellEnd"/>
      <w:r w:rsidRPr="00AF3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32"/>
          <w:szCs w:val="32"/>
          <w:lang w:eastAsia="ru-RU"/>
        </w:rPr>
        <w:t>Ҷумҳурии</w:t>
      </w:r>
      <w:proofErr w:type="spellEnd"/>
      <w:proofErr w:type="gramStart"/>
      <w:r w:rsidRPr="00AF3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End"/>
      <w:r w:rsidRPr="00AF3D05">
        <w:rPr>
          <w:rFonts w:ascii="Times New Roman" w:eastAsia="Times New Roman" w:hAnsi="Times New Roman" w:cs="Times New Roman"/>
          <w:sz w:val="32"/>
          <w:szCs w:val="32"/>
          <w:lang w:eastAsia="ru-RU"/>
        </w:rPr>
        <w:t>оҷикистон</w:t>
      </w:r>
      <w:proofErr w:type="spellEnd"/>
    </w:p>
    <w:p w:rsidR="00AF3D05" w:rsidRPr="00AF3D05" w:rsidRDefault="00AF3D05" w:rsidP="00AF3D05">
      <w:pPr>
        <w:tabs>
          <w:tab w:val="left" w:pos="-241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3D05" w:rsidRPr="00AF3D05" w:rsidRDefault="00AF3D05" w:rsidP="00AF3D05">
      <w:pPr>
        <w:tabs>
          <w:tab w:val="left" w:pos="-241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Фармоиши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D05" w:rsidRPr="00AF3D05" w:rsidRDefault="00AF3D05" w:rsidP="00AF3D05">
      <w:pPr>
        <w:tabs>
          <w:tab w:val="left" w:pos="-241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омори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</w:p>
    <w:p w:rsidR="00AF3D05" w:rsidRPr="00AF3D05" w:rsidRDefault="00AF3D05" w:rsidP="00AF3D05">
      <w:pPr>
        <w:tabs>
          <w:tab w:val="left" w:pos="-241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Ҷумҳурии</w:t>
      </w:r>
      <w:proofErr w:type="spellEnd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оҷикистон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D05" w:rsidRPr="00AF3D05" w:rsidRDefault="00AF3D05" w:rsidP="00AF3D05">
      <w:pPr>
        <w:tabs>
          <w:tab w:val="left" w:pos="-241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аз  «12»  декабри  соли 2018  №58</w:t>
      </w:r>
    </w:p>
    <w:p w:rsidR="00AF3D05" w:rsidRPr="00AF3D05" w:rsidRDefault="00AF3D05" w:rsidP="00AF3D05">
      <w:pPr>
        <w:tabs>
          <w:tab w:val="left" w:pos="-241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тасдиқ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</w:t>
      </w:r>
      <w:bookmarkStart w:id="0" w:name="_GoBack"/>
      <w:bookmarkEnd w:id="0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AF3D0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F3D05" w:rsidRPr="00AF3D05" w:rsidRDefault="00AF3D05" w:rsidP="00AF3D05">
      <w:pPr>
        <w:tabs>
          <w:tab w:val="left" w:pos="-241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05" w:rsidRPr="00AF3D05" w:rsidRDefault="00AF3D05" w:rsidP="00AF3D05">
      <w:pPr>
        <w:spacing w:after="0" w:line="480" w:lineRule="auto"/>
        <w:ind w:right="-1"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D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AF3D05" w:rsidRPr="00AF3D05" w:rsidRDefault="00AF3D05" w:rsidP="00AF3D05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ДАСТУРАМАЛ</w:t>
      </w:r>
    </w:p>
    <w:p w:rsidR="00AF3D05" w:rsidRPr="00AF3D05" w:rsidRDefault="00AF3D05" w:rsidP="00AF3D05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оид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</w:t>
      </w:r>
      <w:proofErr w:type="gram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тартиб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додани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шакли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ҳисоботии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7-КМҶ</w:t>
      </w:r>
    </w:p>
    <w:p w:rsidR="00AF3D05" w:rsidRPr="00AF3D05" w:rsidRDefault="00AF3D05" w:rsidP="00AF3D05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Ҳисобот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бораи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корношоямии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муваққатӣ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ҷароҳат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бардоштани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кормандон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бемориҳои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касбӣ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F3D05" w:rsidRPr="00AF3D05" w:rsidRDefault="00AF3D05" w:rsidP="00AF3D05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Ҳисоботи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омории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рӯи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№7-КМҶ (солона)-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ҳу</w:t>
      </w:r>
      <w:r w:rsidRPr="00AF3D05">
        <w:rPr>
          <w:rFonts w:ascii="Times New Roman" w:eastAsia="Times New Roman" w:hAnsi="Times New Roman" w:cs="Times New Roman"/>
          <w:sz w:val="25"/>
          <w:szCs w:val="25"/>
          <w:lang w:eastAsia="ru-RU"/>
        </w:rPr>
        <w:t>қ</w:t>
      </w:r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F3D05">
        <w:rPr>
          <w:rFonts w:ascii="Times New Roman" w:eastAsia="Times New Roman" w:hAnsi="Times New Roman" w:cs="Times New Roman"/>
          <w:sz w:val="25"/>
          <w:szCs w:val="25"/>
          <w:lang w:eastAsia="ru-RU"/>
        </w:rPr>
        <w:t>қ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новобаста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моликият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ҳамаи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3D05">
        <w:rPr>
          <w:rFonts w:ascii="Times New Roman" w:eastAsia="Times New Roman" w:hAnsi="Times New Roman" w:cs="Times New Roman"/>
          <w:sz w:val="25"/>
          <w:szCs w:val="25"/>
          <w:lang w:eastAsia="ru-RU"/>
        </w:rPr>
        <w:t>қ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тисодиро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иҷро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то 25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AF3D05">
        <w:rPr>
          <w:rFonts w:ascii="Times New Roman" w:eastAsia="Times New Roman" w:hAnsi="Times New Roman" w:cs="Times New Roman"/>
          <w:sz w:val="25"/>
          <w:szCs w:val="25"/>
          <w:lang w:eastAsia="ru-RU"/>
        </w:rPr>
        <w:t>қ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омори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маҳалли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ҷойгирифтаашон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пешниҳод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қисматҳои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ғайри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мустақил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истеҳсолот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шуъба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ғайра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ҳисоботи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ҳамон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корхонае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тавозуни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қарор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ӯйхати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шумораи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миёнаи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ҳамаи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он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ҷумла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сатри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 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ҳисоботи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солона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меҳнат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1-меҳнат)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шумораи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занҳое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рухсатӣ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рӯи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ҳомиладорӣ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таваллуд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рухсатӣ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нигоҳубини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кӯдак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3D05" w:rsidRPr="00AF3D05" w:rsidRDefault="00AF3D05" w:rsidP="00AF3D05">
      <w:pPr>
        <w:tabs>
          <w:tab w:val="left" w:pos="709"/>
          <w:tab w:val="left" w:pos="851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Нишондиҳандаҳое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шумораи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нафар-рӯзи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ҳозир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нашуданро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сабаби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корношоямии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муваққатӣ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тавсиф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варақаҳои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корношоямӣ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маълумотномаҳои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муассисаҳои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муолиҷави</w:t>
      </w:r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табобатӣ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додашуда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шумораи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нафар-рӯзи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ҳозир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нашудан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ӯи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корношоямии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муваққатӣ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танҳо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рӯзҳои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рӯзҳои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истироҳатӣ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рӯзҳои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ғайрикории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идҳо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беморӣ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сабабҳои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ҷароҳат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бардоштан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муассисаи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табобатӣ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варақаи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корношоямӣ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тасдиқнома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ҳуҷҷат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шумораи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нафар-рӯзи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ҳозир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нашудани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сабаби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беморӣ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муассисаи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муолиҷавӣ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тасдиқ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нишондиҳандаҳо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сатри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шумораи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нафароне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сабабҳои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корношоямии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муваққатӣ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наомаданд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танҳо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ӯзҳои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сатри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06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бошад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шумораи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ӯзҳои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талафёта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яъне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шумораи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рӯзҳои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ҳозир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нашудани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нафароне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сатри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Шумораи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ӯзҳои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ҳозир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нашудан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сабаби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рухсатӣ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аз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рӯи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ҳомиладорӣ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таваллуд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ҳисоботи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корношоямии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муваққатӣ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дохил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карда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намешавад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F3D05" w:rsidRPr="00AF3D05" w:rsidRDefault="00AF3D05" w:rsidP="00AF3D05">
      <w:pPr>
        <w:tabs>
          <w:tab w:val="left" w:pos="184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ҳолати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корношоямии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муваққатӣ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гузашта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давом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ёбад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он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ҳамаи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ӯзҳои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корношоямии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муваққатӣ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соли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ҳисоботӣ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фасли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сатри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08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ҳисобот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маълумотҳо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фалокатҳои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ногаҳонӣ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коргарон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хизматчиён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ҳангоми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иҷрои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корҳо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корхонаҳо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хонандагон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донишҷӯён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ҳангоми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иҷрои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таҷрибаомӯзӣ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иҷрои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корҳо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моликият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намуди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андозаи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корхона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ӯй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медиҳад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ҳамроҳ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Фалокатҳои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ногаҳонӣ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ҳисобот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ҷароҳатбардорӣ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бемориҳои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касбӣ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(аз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зарарнок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омилҳои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номусоиди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истеҳсолӣ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касалиҳои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такрорӣ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давоми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бештар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як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омилҳои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зарарноки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истеҳсолӣ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ҳролудшавӣ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оташ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сӯхтан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хунук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задан, дар об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ғарқ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раъду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барқ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ҳангоми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ҳодисаҳои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фавқулоддаи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заминҷунбӣ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лағжиш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обхезӣ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тӯфон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ғайра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вуқӯъ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омадаанд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ҳангоми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иҷрои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ӯҳдадориҳои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меҳнатӣ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(аз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ҷумла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роҳ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ҳангоми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сафари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ҳангоми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баровардани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амалиёте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манфиати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корхона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роҳ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ҳангоми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рафтан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аз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баргаштан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ҳудуди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корхона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ҷойи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вақти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иҷрои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супориши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корхона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давоми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вақти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ҷумла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танаффуси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муқарраршуда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вақти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иҷрои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зиёда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вақти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муқаррарӣ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шанбегӣ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якшанбегӣ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ӯзҳои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ид),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маҳалли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иҷрои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корҳо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корхона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ӯҳда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гирифтааст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ҳангоми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садама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истеҳсолӣ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дастгоҳҳо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нақлиёт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ҳудуди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ҳрчаи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навбатдорӣ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посбонӣ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коргароне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истироҳатӣ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қарор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роҳнамо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гурӯҳи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рефрижераторон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ронанда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басткор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коркунанда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ғайраҳо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вақти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нақлиёти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ҷамъиятӣ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дар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роҳи</w:t>
      </w:r>
      <w:proofErr w:type="spellEnd"/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кадом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набошад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вобаста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рафтани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хизматрасонӣ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ҳангоми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рафту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ҷои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супориши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маъмурият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сатри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шумораи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зарардидагон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оқибат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расидаанд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Дар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сатри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шумораи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ӯзҳои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талафёфта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сабабҳои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коршоямӣ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талафоти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қобилияти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меҳнатии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зарардида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рӯзи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зиёда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якҷоя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фавтидагон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ё 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корношоямии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муваққатӣ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соли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ҳисоботӣ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расидааст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Яъне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шумораи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ӯзҳои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ҳозир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нашудани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нафароне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сатри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08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Шумораи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зарардидагон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ҳолати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фалокатҳои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ногаҳонӣ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хулосаи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тиббӣ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ӯи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зарурат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зарардида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кори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рӯзи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бештар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гузаронида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нишондиҳанда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фасли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сатри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шумораи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рӯзҳои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кори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гузаронидашуда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ҳисобот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Оқибати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моддии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фалокати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ногаҳонӣ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ӯи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оқибатҳои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марговар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фавтидан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зарари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қобилияти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меҳнатӣ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рӯзи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бештар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корношоямие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соли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ҳисобот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расидааст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зарардидае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қисман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қобилияти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меҳнатиашро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кори то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андозае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сабуктар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гузаронида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корношоямии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муваққатии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зарардида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гузашта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давом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он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ҳамаи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ӯзҳои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корношоямӣ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соли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ҳисобот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сатри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оқибати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моддие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фалокати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ногаҳонӣ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омадаасту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қобилияти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меҳнатӣ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рӯзи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бештар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(аз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ҷумла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оқибати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моддии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фалокати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ногаҳонӣ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фавт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сатрҳои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22-25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Масалан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фалокат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моҳи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ноябри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ҳисоботи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гузашта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ӯй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зарардида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моҳи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феврали соли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ҳисоботӣ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бемор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Дар ин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ҳолатҳои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фалокатҳои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ногаҳонӣ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ҳисоботи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ҳамон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яъне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вақте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фалокат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рӯй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ҳамаи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рӯзҳои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корношоямӣ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(аз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моҳи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моҳи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оқибати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дар соли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ҳисоботӣ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зарардида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фалокати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ногаҳонӣ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соли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ҳисоботӣ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вафот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кунаду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ҳодисаи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ӯйдода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соли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гузашта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он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дар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сатри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зарардида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вафот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навишта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(дар соли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гузашта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сатри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08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зарардида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қобилияти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меҳнатиашро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кард,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сатри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фасли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хароҷот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беҳтар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шароити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меҳнат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ҳамаи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манбаъҳои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маблағгузорӣ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сатри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 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«Аз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ӯи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шартномаи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хароҷот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чорабиниҳои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ҳифзи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меҳнат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шартномаи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созишномаи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Хароҷ</w:t>
      </w:r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зайл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кадом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чорабиние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(коре),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шартнома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комиссия,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роҳбарони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корхонаву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ташкилотҳо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таъин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қабул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ҳуҷҷатгузорӣ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ҳайати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муҳосиба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таври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қатори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нишондиҳандаҳо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маблағи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хароҷоти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иҷрои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чорабиниҳои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ҳуҷҷатҳои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тасдиқкунанда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зикршуда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тасдиқи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роҳбарони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корхонаву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ташкилотҳо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вазифадоре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ҳолати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ҳифзи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меҳнат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масъуланд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супурда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пешниҳодшуда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маҷмӯӣ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хароҷоти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баровардани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ҳамаи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чорабиниҳое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шартнома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қатори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хароҷоти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ӯи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шартномаи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сатри</w:t>
      </w:r>
      <w:proofErr w:type="spellEnd"/>
      <w:r w:rsidRPr="00AF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</w:t>
      </w:r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хароҷоти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муҳофизати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фардӣ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ғизоҳои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табобатию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шифобахш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ғайра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ҳамроҳ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Хароҷоти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зикршуда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маълумотҳои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таҳлилӣ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ӯи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хароҷоти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борхат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маълумотҳоро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муҳосиба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шахсоне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ҳисоботии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7-КМҶ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масъуланд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месупоранд</w:t>
      </w:r>
      <w:proofErr w:type="spellEnd"/>
      <w:r w:rsidRPr="00AF3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D05" w:rsidRPr="00AF3D05" w:rsidRDefault="00AF3D05" w:rsidP="00AF3D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05" w:rsidRPr="00AF3D05" w:rsidRDefault="00AF3D05" w:rsidP="00AF3D0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F3D05" w:rsidRPr="00AF3D05" w:rsidRDefault="00AF3D05" w:rsidP="00AF3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B11C3" w:rsidRPr="00AF3D05" w:rsidRDefault="001B11C3">
      <w:pPr>
        <w:rPr>
          <w:rFonts w:ascii="Times New Roman" w:hAnsi="Times New Roman" w:cs="Times New Roman"/>
        </w:rPr>
      </w:pPr>
    </w:p>
    <w:sectPr w:rsidR="001B11C3" w:rsidRPr="00AF3D05" w:rsidSect="00295A74">
      <w:headerReference w:type="even" r:id="rId5"/>
      <w:headerReference w:type="default" r:id="rId6"/>
      <w:pgSz w:w="11907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15" w:rsidRDefault="00AF3D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915" w:rsidRDefault="00AF3D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15" w:rsidRDefault="00AF3D05">
    <w:pPr>
      <w:pStyle w:val="a3"/>
      <w:rPr>
        <w:snapToGrid w:val="0"/>
      </w:rPr>
    </w:pPr>
  </w:p>
  <w:p w:rsidR="00C13915" w:rsidRDefault="00AF3D05">
    <w:pPr>
      <w:pStyle w:val="a3"/>
    </w:pPr>
    <w:r>
      <w:rPr>
        <w:snapToGrid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05"/>
    <w:rsid w:val="001B11C3"/>
    <w:rsid w:val="00A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D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D0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AF3D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F3D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rsid w:val="00AF3D05"/>
    <w:rPr>
      <w:rFonts w:cs="Times New Roman"/>
    </w:rPr>
  </w:style>
  <w:style w:type="paragraph" w:customStyle="1" w:styleId="a6">
    <w:name w:val="Стиль"/>
    <w:basedOn w:val="a"/>
    <w:next w:val="a7"/>
    <w:qFormat/>
    <w:rsid w:val="00AF3D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F3D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F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D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D0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AF3D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F3D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rsid w:val="00AF3D05"/>
    <w:rPr>
      <w:rFonts w:cs="Times New Roman"/>
    </w:rPr>
  </w:style>
  <w:style w:type="paragraph" w:customStyle="1" w:styleId="a6">
    <w:name w:val="Стиль"/>
    <w:basedOn w:val="a"/>
    <w:next w:val="a7"/>
    <w:qFormat/>
    <w:rsid w:val="00AF3D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F3D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F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6824</Characters>
  <Application>Microsoft Office Word</Application>
  <DocSecurity>0</DocSecurity>
  <Lines>56</Lines>
  <Paragraphs>16</Paragraphs>
  <ScaleCrop>false</ScaleCrop>
  <Company>Krokoz™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Furkat</dc:creator>
  <cp:lastModifiedBy>Furkat</cp:lastModifiedBy>
  <cp:revision>1</cp:revision>
  <dcterms:created xsi:type="dcterms:W3CDTF">2020-01-14T12:32:00Z</dcterms:created>
  <dcterms:modified xsi:type="dcterms:W3CDTF">2020-01-14T12:32:00Z</dcterms:modified>
</cp:coreProperties>
</file>